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C82F7" w14:textId="691E0DB9" w:rsidR="00A52B33" w:rsidRDefault="00A52B33" w:rsidP="00A52B33">
      <w:pPr>
        <w:pStyle w:val="CRCoverPage"/>
        <w:tabs>
          <w:tab w:val="right" w:pos="9639"/>
        </w:tabs>
        <w:spacing w:after="0"/>
        <w:rPr>
          <w:b/>
          <w:i/>
          <w:sz w:val="28"/>
        </w:rPr>
      </w:pPr>
      <w:r>
        <w:rPr>
          <w:b/>
          <w:sz w:val="24"/>
        </w:rPr>
        <w:t>3GPP TSG-RAN WG4 Meeting # 115</w:t>
      </w:r>
      <w:r>
        <w:rPr>
          <w:b/>
          <w:i/>
          <w:sz w:val="28"/>
        </w:rPr>
        <w:tab/>
        <w:t>R4-25</w:t>
      </w:r>
      <w:r w:rsidR="00951FE8">
        <w:rPr>
          <w:b/>
          <w:i/>
          <w:sz w:val="28"/>
          <w:lang w:eastAsia="zh-CN"/>
        </w:rPr>
        <w:t>07168</w:t>
      </w:r>
      <w:bookmarkStart w:id="0" w:name="_GoBack"/>
      <w:bookmarkEnd w:id="0"/>
    </w:p>
    <w:p w14:paraId="4B692B6D" w14:textId="77777777" w:rsidR="00A52B33" w:rsidRDefault="00A52B33" w:rsidP="00A52B33">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508E45E5" w14:textId="77777777" w:rsidR="00A01ADF" w:rsidRPr="00A52B33" w:rsidRDefault="00A01ADF" w:rsidP="00A01ADF">
      <w:pPr>
        <w:spacing w:after="120"/>
        <w:ind w:left="1985" w:hanging="1985"/>
        <w:rPr>
          <w:rFonts w:ascii="Arial" w:eastAsia="MS Mincho" w:hAnsi="Arial" w:cs="Arial"/>
          <w:b/>
          <w:sz w:val="22"/>
        </w:rPr>
      </w:pPr>
    </w:p>
    <w:p w14:paraId="3F5FBE55" w14:textId="3A60900E"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B648F0">
        <w:rPr>
          <w:rFonts w:ascii="Arial" w:hAnsi="Arial" w:cs="Arial"/>
          <w:b/>
          <w:sz w:val="22"/>
          <w:szCs w:val="22"/>
        </w:rPr>
        <w:t xml:space="preserve">NTN HPUE </w:t>
      </w:r>
      <w:r w:rsidR="00971943">
        <w:rPr>
          <w:rFonts w:ascii="Arial" w:hAnsi="Arial" w:cs="Arial"/>
          <w:b/>
          <w:sz w:val="22"/>
          <w:szCs w:val="22"/>
        </w:rPr>
        <w:t>SAR solution</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089ABB89"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C5275A">
        <w:rPr>
          <w:rFonts w:ascii="Arial" w:hAnsi="Arial" w:cs="Arial"/>
          <w:b/>
          <w:sz w:val="22"/>
          <w:szCs w:val="22"/>
        </w:rPr>
        <w:t>3</w:t>
      </w:r>
      <w:r w:rsidR="00265E0B">
        <w:rPr>
          <w:rFonts w:ascii="Arial" w:hAnsi="Arial" w:cs="Arial"/>
          <w:b/>
          <w:sz w:val="22"/>
          <w:szCs w:val="22"/>
        </w:rPr>
        <w:t>.</w:t>
      </w:r>
      <w:r w:rsidR="00971943">
        <w:rPr>
          <w:rFonts w:ascii="Arial" w:hAnsi="Arial" w:cs="Arial"/>
          <w:b/>
          <w:sz w:val="22"/>
          <w:szCs w:val="22"/>
        </w:rPr>
        <w:t>3</w:t>
      </w:r>
      <w:r w:rsidR="00265E0B">
        <w:rPr>
          <w:rFonts w:ascii="Arial" w:hAnsi="Arial" w:cs="Arial"/>
          <w:b/>
          <w:sz w:val="22"/>
          <w:szCs w:val="22"/>
        </w:rPr>
        <w:t>.1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B0EBFB0" w14:textId="3CBC15BC" w:rsidR="003D209D" w:rsidRDefault="003D209D" w:rsidP="003D209D">
      <w:pPr>
        <w:rPr>
          <w:lang w:val="sv-SE" w:eastAsia="zh-CN"/>
        </w:rPr>
      </w:pPr>
      <w:r>
        <w:rPr>
          <w:lang w:val="sv-SE" w:eastAsia="zh-CN"/>
        </w:rPr>
        <w:t>In last #11</w:t>
      </w:r>
      <w:r w:rsidR="0077713F">
        <w:rPr>
          <w:lang w:val="sv-SE" w:eastAsia="zh-CN"/>
        </w:rPr>
        <w:t>4</w:t>
      </w:r>
      <w:r w:rsidR="001E7433">
        <w:rPr>
          <w:lang w:val="sv-SE" w:eastAsia="zh-CN"/>
        </w:rPr>
        <w:t>bis</w:t>
      </w:r>
      <w:r>
        <w:rPr>
          <w:lang w:val="sv-SE" w:eastAsia="zh-CN"/>
        </w:rPr>
        <w:t xml:space="preserve"> meeting, the WF[1] had </w:t>
      </w:r>
      <w:r w:rsidR="00574976">
        <w:rPr>
          <w:rFonts w:hint="eastAsia"/>
          <w:lang w:val="sv-SE" w:eastAsia="zh-CN"/>
        </w:rPr>
        <w:t>f</w:t>
      </w:r>
      <w:r w:rsidR="00574976">
        <w:rPr>
          <w:lang w:val="sv-SE" w:eastAsia="zh-CN"/>
        </w:rPr>
        <w:t xml:space="preserve">urther </w:t>
      </w:r>
      <w:r w:rsidR="0077713F">
        <w:rPr>
          <w:lang w:val="sv-SE" w:eastAsia="zh-CN"/>
        </w:rPr>
        <w:t xml:space="preserve">progressed on </w:t>
      </w:r>
      <w:r w:rsidR="009811FF">
        <w:rPr>
          <w:lang w:val="sv-SE" w:eastAsia="zh-CN"/>
        </w:rPr>
        <w:t xml:space="preserve">determine ACLR, </w:t>
      </w:r>
      <w:r w:rsidR="001C2B28">
        <w:rPr>
          <w:lang w:val="sv-SE" w:eastAsia="zh-CN"/>
        </w:rPr>
        <w:t>MPR assumptions</w:t>
      </w:r>
      <w:r w:rsidR="009811FF">
        <w:rPr>
          <w:lang w:val="sv-SE" w:eastAsia="zh-CN"/>
        </w:rPr>
        <w:t xml:space="preserve">, etc. And also the SAR solutions submitted by different companies had been </w:t>
      </w:r>
      <w:r w:rsidR="001C2B28">
        <w:rPr>
          <w:lang w:val="sv-SE" w:eastAsia="zh-CN"/>
        </w:rPr>
        <w:t>further discussed, but the specific solution cannot reach agreement</w:t>
      </w:r>
      <w:r w:rsidR="009811FF">
        <w:rPr>
          <w:lang w:val="sv-SE" w:eastAsia="zh-CN"/>
        </w:rPr>
        <w:t>.</w:t>
      </w:r>
    </w:p>
    <w:p w14:paraId="5FDC9A3A" w14:textId="48698E75" w:rsidR="003D209D" w:rsidRDefault="003D209D" w:rsidP="003D209D">
      <w:pPr>
        <w:rPr>
          <w:lang w:val="sv-SE" w:eastAsia="zh-CN"/>
        </w:rPr>
      </w:pPr>
      <w:r>
        <w:rPr>
          <w:lang w:val="sv-SE" w:eastAsia="zh-CN"/>
        </w:rPr>
        <w:t xml:space="preserve">In this paper, we will </w:t>
      </w:r>
      <w:r w:rsidR="0077713F">
        <w:rPr>
          <w:lang w:val="sv-SE" w:eastAsia="zh-CN"/>
        </w:rPr>
        <w:t xml:space="preserve">continue to discuss the </w:t>
      </w:r>
      <w:r w:rsidR="001C2B28">
        <w:rPr>
          <w:lang w:val="sv-SE" w:eastAsia="zh-CN"/>
        </w:rPr>
        <w:t>NTN HPUE SAR solutions</w:t>
      </w:r>
      <w:r>
        <w:rPr>
          <w:lang w:val="sv-SE" w:eastAsia="zh-CN"/>
        </w:rPr>
        <w:t>.</w:t>
      </w:r>
    </w:p>
    <w:p w14:paraId="50DC1753" w14:textId="6BE42182" w:rsidR="00C90BE5" w:rsidRPr="00790A07" w:rsidRDefault="00580C68" w:rsidP="00C90BE5">
      <w:pPr>
        <w:pStyle w:val="1"/>
      </w:pPr>
      <w:bookmarkStart w:id="1" w:name="OLE_LINK3"/>
      <w:bookmarkStart w:id="2" w:name="OLE_LINK4"/>
      <w:r>
        <w:t>2</w:t>
      </w:r>
      <w:r w:rsidR="00C90BE5" w:rsidRPr="00790A07">
        <w:tab/>
      </w:r>
      <w:r>
        <w:t>Discussion</w:t>
      </w:r>
    </w:p>
    <w:p w14:paraId="25F06CBF" w14:textId="5DA9EE6D" w:rsidR="00C90BE5" w:rsidRDefault="000137D1" w:rsidP="000137D1">
      <w:pPr>
        <w:rPr>
          <w:lang w:val="sv-SE" w:eastAsia="zh-CN"/>
        </w:rPr>
      </w:pPr>
      <w:r>
        <w:rPr>
          <w:rFonts w:hint="eastAsia"/>
          <w:lang w:val="sv-SE" w:eastAsia="zh-CN"/>
        </w:rPr>
        <w:t>In</w:t>
      </w:r>
      <w:r>
        <w:rPr>
          <w:lang w:val="sv-SE" w:eastAsia="zh-CN"/>
        </w:rPr>
        <w:t xml:space="preserve"> our last contribution [2] and in WF[1], our observations</w:t>
      </w:r>
      <w:r w:rsidR="00F6477C">
        <w:rPr>
          <w:lang w:val="sv-SE" w:eastAsia="zh-CN"/>
        </w:rPr>
        <w:t xml:space="preserve"> and proposals were provided as follows:</w:t>
      </w:r>
    </w:p>
    <w:tbl>
      <w:tblPr>
        <w:tblStyle w:val="a5"/>
        <w:tblW w:w="0" w:type="auto"/>
        <w:tblLook w:val="04A0" w:firstRow="1" w:lastRow="0" w:firstColumn="1" w:lastColumn="0" w:noHBand="0" w:noVBand="1"/>
      </w:tblPr>
      <w:tblGrid>
        <w:gridCol w:w="9629"/>
      </w:tblGrid>
      <w:tr w:rsidR="00F6477C" w14:paraId="69882836" w14:textId="77777777" w:rsidTr="00F6477C">
        <w:tc>
          <w:tcPr>
            <w:tcW w:w="9629" w:type="dxa"/>
          </w:tcPr>
          <w:p w14:paraId="223013DC" w14:textId="77777777" w:rsidR="00F6477C" w:rsidRDefault="00F6477C" w:rsidP="00F6477C">
            <w:pPr>
              <w:rPr>
                <w:lang w:val="sv-SE" w:eastAsia="zh-CN"/>
              </w:rPr>
            </w:pPr>
            <w:r>
              <w:rPr>
                <w:rFonts w:hint="eastAsia"/>
                <w:lang w:val="sv-SE" w:eastAsia="zh-CN"/>
              </w:rPr>
              <w:t>F</w:t>
            </w:r>
            <w:r>
              <w:rPr>
                <w:lang w:val="sv-SE" w:eastAsia="zh-CN"/>
              </w:rPr>
              <w:t>rom the discussion, we have the following observations</w:t>
            </w:r>
            <w:r>
              <w:rPr>
                <w:rFonts w:hint="eastAsia"/>
                <w:lang w:val="sv-SE" w:eastAsia="zh-CN"/>
              </w:rPr>
              <w:t>:</w:t>
            </w:r>
          </w:p>
          <w:p w14:paraId="29769360" w14:textId="77777777" w:rsidR="00F6477C" w:rsidRDefault="00F6477C" w:rsidP="00F6477C">
            <w:pPr>
              <w:rPr>
                <w:lang w:val="sv-SE"/>
              </w:rPr>
            </w:pPr>
            <w:r w:rsidRPr="00D0769E">
              <w:rPr>
                <w:b/>
                <w:lang w:val="sv-SE"/>
              </w:rPr>
              <w:t>Observation 3-1</w:t>
            </w:r>
            <w:r>
              <w:rPr>
                <w:lang w:val="sv-SE"/>
              </w:rPr>
              <w:t>: Legacy dutycycle method does not fit the purpose of keeping as much power as possible for NTN scenario, as legacy solution requires UE to fall back 3/6 dBs, which is the power of entire power class.</w:t>
            </w:r>
            <w:r w:rsidRPr="00E15935">
              <w:rPr>
                <w:lang w:val="sv-SE"/>
              </w:rPr>
              <w:t xml:space="preserve"> </w:t>
            </w:r>
          </w:p>
          <w:p w14:paraId="4500830C" w14:textId="77777777" w:rsidR="00F6477C" w:rsidRDefault="00F6477C" w:rsidP="00F6477C">
            <w:pPr>
              <w:rPr>
                <w:lang w:val="sv-SE"/>
              </w:rPr>
            </w:pPr>
            <w:r w:rsidRPr="00D0769E">
              <w:rPr>
                <w:b/>
                <w:lang w:val="sv-SE"/>
              </w:rPr>
              <w:t>Observation 3-2</w:t>
            </w:r>
            <w:r>
              <w:rPr>
                <w:lang w:val="sv-SE"/>
              </w:rPr>
              <w:t>: In Rel-19, NTN would not introduce any beam service ratio in time domain in NTN phase3 WI in parallel.</w:t>
            </w:r>
          </w:p>
          <w:p w14:paraId="3FB02D8A" w14:textId="77777777" w:rsidR="00F6477C" w:rsidRDefault="00F6477C" w:rsidP="00F6477C">
            <w:pPr>
              <w:rPr>
                <w:lang w:val="sv-SE"/>
              </w:rPr>
            </w:pPr>
          </w:p>
          <w:p w14:paraId="64CFDA3A" w14:textId="77777777" w:rsidR="00F6477C" w:rsidRDefault="00F6477C" w:rsidP="00F6477C">
            <w:pPr>
              <w:rPr>
                <w:lang w:val="sv-SE"/>
              </w:rPr>
            </w:pPr>
            <w:r>
              <w:rPr>
                <w:lang w:val="sv-SE"/>
              </w:rPr>
              <w:t>Based on these observations above, we believe that to let UE to drop certain ratio of uplink opportunities or to let UE enter a UL gap period to recover its SAR margin can be the potential solution, however they also have some disadvantages.</w:t>
            </w:r>
          </w:p>
          <w:p w14:paraId="14F3CDC5" w14:textId="77777777" w:rsidR="00F6477C" w:rsidRDefault="00F6477C" w:rsidP="00F6477C">
            <w:pPr>
              <w:rPr>
                <w:lang w:val="sv-SE"/>
              </w:rPr>
            </w:pPr>
            <w:r w:rsidRPr="005820B5">
              <w:rPr>
                <w:b/>
                <w:lang w:val="sv-SE"/>
              </w:rPr>
              <w:t>Observation 4-1</w:t>
            </w:r>
            <w:r>
              <w:rPr>
                <w:lang w:val="sv-SE"/>
              </w:rPr>
              <w:t>: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6829CB37" w14:textId="77777777" w:rsidR="00F6477C" w:rsidRDefault="00F6477C" w:rsidP="00F6477C">
            <w:pPr>
              <w:rPr>
                <w:lang w:val="sv-SE"/>
              </w:rPr>
            </w:pPr>
            <w:r w:rsidRPr="005820B5">
              <w:rPr>
                <w:b/>
                <w:lang w:val="sv-SE"/>
              </w:rPr>
              <w:t>Observation 4-2</w:t>
            </w:r>
            <w:r>
              <w:rPr>
                <w:lang w:val="sv-SE"/>
              </w:rPr>
              <w:t>: To let UE go into a Tx UL Gap also faces same challenges as above.</w:t>
            </w:r>
          </w:p>
          <w:p w14:paraId="2665F637" w14:textId="77777777" w:rsidR="00F6477C" w:rsidRDefault="00F6477C" w:rsidP="00F6477C">
            <w:pPr>
              <w:rPr>
                <w:lang w:val="sv-SE"/>
              </w:rPr>
            </w:pPr>
          </w:p>
          <w:p w14:paraId="30A371C6" w14:textId="77777777" w:rsidR="00F6477C" w:rsidRDefault="00F6477C" w:rsidP="00F6477C">
            <w:pPr>
              <w:rPr>
                <w:lang w:val="sv-SE" w:eastAsia="zh-CN"/>
              </w:rPr>
            </w:pPr>
            <w:r>
              <w:rPr>
                <w:lang w:val="sv-SE" w:eastAsia="zh-CN"/>
              </w:rPr>
              <w:t>In our view, if there’s no common design that can be specified in details, it means it can both guide the UE to act accordingly and to fulfill the SAR regulations, we’d rather to not specify anything when it’s not mature. P-MPR has served as a legacy method that leaves spaces for UE to implement to deal with SAR regulations, and we can live with that.</w:t>
            </w:r>
          </w:p>
          <w:p w14:paraId="095091F3" w14:textId="77777777" w:rsidR="00F6477C" w:rsidRDefault="00F6477C" w:rsidP="00F6477C">
            <w:pPr>
              <w:rPr>
                <w:b/>
                <w:lang w:val="sv-SE" w:eastAsia="zh-CN"/>
              </w:rPr>
            </w:pPr>
            <w:r w:rsidRPr="007178D4">
              <w:rPr>
                <w:b/>
                <w:lang w:val="sv-SE" w:eastAsia="zh-CN"/>
              </w:rPr>
              <w:t>Proposal 4: To not define any duty cycle based SAR solution,</w:t>
            </w:r>
            <w:r>
              <w:rPr>
                <w:b/>
                <w:lang w:val="sv-SE" w:eastAsia="zh-CN"/>
              </w:rPr>
              <w:t xml:space="preserve"> and to use the baseline P-MPR method,</w:t>
            </w:r>
            <w:r w:rsidRPr="007178D4">
              <w:rPr>
                <w:b/>
                <w:lang w:val="sv-SE" w:eastAsia="zh-CN"/>
              </w:rPr>
              <w:t xml:space="preserve"> considering following:</w:t>
            </w:r>
            <w:r w:rsidRPr="007178D4">
              <w:rPr>
                <w:rFonts w:hint="eastAsia"/>
                <w:b/>
                <w:lang w:val="sv-SE" w:eastAsia="zh-CN"/>
              </w:rPr>
              <w:t xml:space="preserve"> </w:t>
            </w:r>
          </w:p>
          <w:p w14:paraId="72FBC2A8" w14:textId="77777777" w:rsidR="00F6477C" w:rsidRDefault="00F6477C" w:rsidP="00F6477C">
            <w:pPr>
              <w:pStyle w:val="a6"/>
              <w:numPr>
                <w:ilvl w:val="0"/>
                <w:numId w:val="9"/>
              </w:numPr>
              <w:ind w:firstLineChars="0"/>
              <w:rPr>
                <w:b/>
                <w:lang w:val="sv-SE"/>
              </w:rPr>
            </w:pPr>
            <w:r w:rsidRPr="007178D4">
              <w:rPr>
                <w:b/>
                <w:lang w:val="sv-SE"/>
              </w:rPr>
              <w:t xml:space="preserve">1) P-MPR had been working well and leave space for implementation; </w:t>
            </w:r>
          </w:p>
          <w:p w14:paraId="3F67ADC1" w14:textId="77777777" w:rsidR="00F6477C" w:rsidRDefault="00F6477C" w:rsidP="00F6477C">
            <w:pPr>
              <w:pStyle w:val="a6"/>
              <w:numPr>
                <w:ilvl w:val="0"/>
                <w:numId w:val="9"/>
              </w:numPr>
              <w:ind w:firstLineChars="0"/>
              <w:rPr>
                <w:b/>
                <w:lang w:val="sv-SE"/>
              </w:rPr>
            </w:pPr>
            <w:r w:rsidRPr="007178D4">
              <w:rPr>
                <w:b/>
                <w:lang w:val="sv-SE"/>
              </w:rPr>
              <w:t xml:space="preserve">2) without uplink duty ratio from NW side, current solutions on the table (including legacy tdd duty cycle solution) cannot be optimized and clear enough for UE implementation; </w:t>
            </w:r>
          </w:p>
          <w:p w14:paraId="34923F03" w14:textId="07818F5F" w:rsidR="00F6477C" w:rsidRDefault="00F6477C" w:rsidP="00F6477C">
            <w:pPr>
              <w:rPr>
                <w:lang w:val="sv-SE" w:eastAsia="zh-CN"/>
              </w:rPr>
            </w:pPr>
            <w:r w:rsidRPr="007178D4">
              <w:rPr>
                <w:b/>
                <w:lang w:val="sv-SE"/>
              </w:rPr>
              <w:t>3) There are many non-3GPP technologies already implemented in actual SAR compliance, and it helped to maintain power level well enough.</w:t>
            </w:r>
          </w:p>
        </w:tc>
      </w:tr>
    </w:tbl>
    <w:p w14:paraId="5B2CACA1" w14:textId="77777777" w:rsidR="00F6477C" w:rsidRDefault="00F6477C" w:rsidP="000137D1">
      <w:pPr>
        <w:rPr>
          <w:lang w:val="sv-SE" w:eastAsia="zh-CN"/>
        </w:rPr>
      </w:pPr>
    </w:p>
    <w:p w14:paraId="576A1FCD" w14:textId="4F18F248" w:rsidR="007178D4" w:rsidRDefault="0087647A" w:rsidP="00F6477C">
      <w:pPr>
        <w:rPr>
          <w:lang w:val="sv-SE" w:eastAsia="zh-CN"/>
        </w:rPr>
      </w:pPr>
      <w:r>
        <w:rPr>
          <w:lang w:val="sv-SE" w:eastAsia="zh-CN"/>
        </w:rPr>
        <w:lastRenderedPageBreak/>
        <w:t>We would like to first re-iterate our views that the duty cycle solution is not</w:t>
      </w:r>
      <w:r w:rsidR="007E4317">
        <w:rPr>
          <w:lang w:val="sv-SE" w:eastAsia="zh-CN"/>
        </w:rPr>
        <w:t xml:space="preserve"> a</w:t>
      </w:r>
      <w:r>
        <w:rPr>
          <w:lang w:val="sv-SE" w:eastAsia="zh-CN"/>
        </w:rPr>
        <w:t xml:space="preserve"> complete </w:t>
      </w:r>
      <w:r w:rsidR="007E4317">
        <w:rPr>
          <w:lang w:val="sv-SE" w:eastAsia="zh-CN"/>
        </w:rPr>
        <w:t xml:space="preserve">solution </w:t>
      </w:r>
      <w:r>
        <w:rPr>
          <w:lang w:val="sv-SE" w:eastAsia="zh-CN"/>
        </w:rPr>
        <w:t xml:space="preserve">to be </w:t>
      </w:r>
      <w:r w:rsidR="007E4317">
        <w:rPr>
          <w:lang w:val="sv-SE" w:eastAsia="zh-CN"/>
        </w:rPr>
        <w:t>implement</w:t>
      </w:r>
      <w:r>
        <w:rPr>
          <w:lang w:val="sv-SE" w:eastAsia="zh-CN"/>
        </w:rPr>
        <w:t xml:space="preserve"> in </w:t>
      </w:r>
      <w:r w:rsidR="007E4317">
        <w:rPr>
          <w:lang w:val="sv-SE" w:eastAsia="zh-CN"/>
        </w:rPr>
        <w:t>current NTN bands, which are all FDD bands.</w:t>
      </w:r>
    </w:p>
    <w:p w14:paraId="68CD40D1" w14:textId="6A33A2E6" w:rsidR="001F5A7C" w:rsidRDefault="007E4317" w:rsidP="00F6477C">
      <w:pPr>
        <w:rPr>
          <w:lang w:val="sv-SE" w:eastAsia="zh-CN"/>
        </w:rPr>
      </w:pPr>
      <w:r>
        <w:rPr>
          <w:lang w:val="sv-SE" w:eastAsia="zh-CN"/>
        </w:rPr>
        <w:t xml:space="preserve">Between the last #114bis and this #115 meeting, we had </w:t>
      </w:r>
      <w:r w:rsidR="001F5A7C">
        <w:rPr>
          <w:lang w:val="sv-SE" w:eastAsia="zh-CN"/>
        </w:rPr>
        <w:t>physically</w:t>
      </w:r>
      <w:r>
        <w:rPr>
          <w:lang w:val="sv-SE" w:eastAsia="zh-CN"/>
        </w:rPr>
        <w:t xml:space="preserve"> participated the CCSA TC9WG3 meeting, which </w:t>
      </w:r>
      <w:r w:rsidR="001F5A7C">
        <w:rPr>
          <w:lang w:val="sv-SE" w:eastAsia="zh-CN"/>
        </w:rPr>
        <w:t>is the technical committee under CCSA focusing on EMF exposure reguation and standards for telecommunication devices. And we had presented the current discussion happening in 3GPP NTN HPUE, as long as the challenges and demands from NTN scenario. There are also several other companies who also made presentation about NTN HPUE.</w:t>
      </w:r>
    </w:p>
    <w:p w14:paraId="0B139425" w14:textId="4C676F2D" w:rsidR="007E4317" w:rsidRDefault="001F5A7C" w:rsidP="00F6477C">
      <w:pPr>
        <w:rPr>
          <w:lang w:val="sv-SE" w:eastAsia="zh-CN"/>
        </w:rPr>
      </w:pPr>
      <w:r>
        <w:rPr>
          <w:lang w:val="sv-SE" w:eastAsia="zh-CN"/>
        </w:rPr>
        <w:t xml:space="preserve">Even though we cannot speak for the regulator from CCSA in this paper, but we would like to share the observations from this activity and discussion here. </w:t>
      </w:r>
    </w:p>
    <w:p w14:paraId="1757FB7C" w14:textId="61FDBFEF" w:rsidR="001F5A7C" w:rsidRPr="00470297" w:rsidRDefault="001F5A7C" w:rsidP="00F6477C">
      <w:pPr>
        <w:rPr>
          <w:b/>
          <w:u w:val="single"/>
          <w:lang w:val="sv-SE" w:eastAsia="zh-CN"/>
        </w:rPr>
      </w:pPr>
      <w:r w:rsidRPr="001F5A7C">
        <w:rPr>
          <w:rFonts w:hint="eastAsia"/>
          <w:b/>
          <w:u w:val="single"/>
          <w:lang w:val="sv-SE" w:eastAsia="zh-CN"/>
        </w:rPr>
        <w:t>O</w:t>
      </w:r>
      <w:r w:rsidR="00470297">
        <w:rPr>
          <w:b/>
          <w:u w:val="single"/>
          <w:lang w:val="sv-SE" w:eastAsia="zh-CN"/>
        </w:rPr>
        <w:t>ur o</w:t>
      </w:r>
      <w:r w:rsidRPr="001F5A7C">
        <w:rPr>
          <w:b/>
          <w:u w:val="single"/>
          <w:lang w:val="sv-SE" w:eastAsia="zh-CN"/>
        </w:rPr>
        <w:t>bservation</w:t>
      </w:r>
      <w:r>
        <w:rPr>
          <w:b/>
          <w:u w:val="single"/>
          <w:lang w:val="sv-SE" w:eastAsia="zh-CN"/>
        </w:rPr>
        <w:t>s from CCSA discussion with Chinese</w:t>
      </w:r>
      <w:r w:rsidRPr="001F5A7C">
        <w:rPr>
          <w:b/>
          <w:u w:val="single"/>
          <w:lang w:val="sv-SE" w:eastAsia="zh-CN"/>
        </w:rPr>
        <w:t xml:space="preserve"> Regulator:</w:t>
      </w:r>
    </w:p>
    <w:p w14:paraId="265DEC27" w14:textId="77777777" w:rsidR="006C0DC8" w:rsidRDefault="00470297" w:rsidP="00CD3B34">
      <w:pPr>
        <w:rPr>
          <w:lang w:val="sv-SE" w:eastAsia="zh-CN"/>
        </w:rPr>
      </w:pPr>
      <w:r>
        <w:rPr>
          <w:rFonts w:hint="eastAsia"/>
          <w:lang w:val="sv-SE" w:eastAsia="zh-CN"/>
        </w:rPr>
        <w:t>I</w:t>
      </w:r>
      <w:r>
        <w:rPr>
          <w:lang w:val="sv-SE" w:eastAsia="zh-CN"/>
        </w:rPr>
        <w:t xml:space="preserve">n China, the UE will need to comply with EMF exposure, either </w:t>
      </w:r>
      <w:r w:rsidR="006C0DC8">
        <w:rPr>
          <w:lang w:val="sv-SE" w:eastAsia="zh-CN"/>
        </w:rPr>
        <w:t xml:space="preserve">by SAR (specific absorption rate) for operating under 6/10GHz or by PD (power density) for operating above 6/10GHz. </w:t>
      </w:r>
    </w:p>
    <w:p w14:paraId="3EC6DF75" w14:textId="799997A6" w:rsidR="006C0DC8" w:rsidRDefault="006C0DC8" w:rsidP="00CD3B34">
      <w:pPr>
        <w:rPr>
          <w:lang w:val="sv-SE" w:eastAsia="zh-CN"/>
        </w:rPr>
      </w:pPr>
      <w:r>
        <w:rPr>
          <w:lang w:val="sv-SE" w:eastAsia="zh-CN"/>
        </w:rPr>
        <w:t xml:space="preserve">1. The previous 3GPP designed duty cycle based SAR solution was ’partially’ introduced in China local market certification/ authorization process, only in TDD bands. </w:t>
      </w:r>
    </w:p>
    <w:p w14:paraId="2BBB8336" w14:textId="1D682101" w:rsidR="00470297" w:rsidRDefault="006C0DC8" w:rsidP="00CD3B34">
      <w:pPr>
        <w:rPr>
          <w:lang w:val="sv-SE" w:eastAsia="zh-CN"/>
        </w:rPr>
      </w:pPr>
      <w:r>
        <w:rPr>
          <w:lang w:val="sv-SE" w:eastAsia="zh-CN"/>
        </w:rPr>
        <w:t>The consideration from regulator is that the reported uplink duty cycle from UE can be directly compared to the local MNO’s TDD UL/DL configurations, which is also authorized and determined by regulator. And also, the UE power class back off behavior in TDD band had been clearly designed by 3GPP, so the regulator have clear understanding that when and how these 3GPP UE would act under certain MNO’s network with a specific UL/DL configuration.</w:t>
      </w:r>
    </w:p>
    <w:p w14:paraId="44943228" w14:textId="4E548E52" w:rsidR="006C0DC8" w:rsidRDefault="00984048" w:rsidP="00CD3B34">
      <w:pPr>
        <w:rPr>
          <w:lang w:val="sv-SE" w:eastAsia="zh-CN"/>
        </w:rPr>
      </w:pPr>
      <w:r>
        <w:rPr>
          <w:lang w:val="sv-SE" w:eastAsia="zh-CN"/>
        </w:rPr>
        <w:t>2. The 3GPP HPUE operating in TDD band were tested under the highest authorized uplink ratio, but smaller than the UE reported uplink duty cycle capability under certain power class, that authorized by regulator to local MNO</w:t>
      </w:r>
      <w:r w:rsidR="006C0DC8">
        <w:rPr>
          <w:lang w:val="sv-SE" w:eastAsia="zh-CN"/>
        </w:rPr>
        <w:t>.</w:t>
      </w:r>
    </w:p>
    <w:p w14:paraId="1CE4ACBE" w14:textId="2030D32C" w:rsidR="00984048" w:rsidRDefault="00984048" w:rsidP="00CD3B34">
      <w:pPr>
        <w:rPr>
          <w:lang w:val="sv-SE" w:eastAsia="zh-CN"/>
        </w:rPr>
      </w:pPr>
      <w:r>
        <w:rPr>
          <w:lang w:val="sv-SE" w:eastAsia="zh-CN"/>
        </w:rPr>
        <w:t>For example, if the regulator authorized DS (ul ratio 42.86%), DDDSU (ul ratio 22.86%) and DSUUU (ul ratio 62.86%) TDD UL/DL configurations for MNO to operate in China, and if the UE reported its power class 2 duty cycle capability is 60%, then the UE should be tested under the TDD configuration of DS in power class 2 Tx power.</w:t>
      </w:r>
    </w:p>
    <w:p w14:paraId="0C22154E" w14:textId="2E95886C" w:rsidR="00984048" w:rsidRDefault="00984048" w:rsidP="00CD3B34">
      <w:pPr>
        <w:rPr>
          <w:lang w:val="sv-SE" w:eastAsia="zh-CN"/>
        </w:rPr>
      </w:pPr>
      <w:r>
        <w:rPr>
          <w:lang w:val="sv-SE" w:eastAsia="zh-CN"/>
        </w:rPr>
        <w:t>3. This practice has not been expanded to FDD bands, as the regulator cannot control the FDD bands UL/DL scheduling ratio, and same to the UE behavior.</w:t>
      </w:r>
    </w:p>
    <w:p w14:paraId="518D1E1B" w14:textId="77777777" w:rsidR="00093921" w:rsidRDefault="00984048" w:rsidP="00CD3B34">
      <w:pPr>
        <w:rPr>
          <w:lang w:val="sv-SE" w:eastAsia="zh-CN"/>
        </w:rPr>
      </w:pPr>
      <w:r>
        <w:rPr>
          <w:lang w:val="sv-SE" w:eastAsia="zh-CN"/>
        </w:rPr>
        <w:t xml:space="preserve">In FDD bands, the story is different. The network has the full flexibility in scheduling the UL of a UE, and the network does not have the responsibility for the EMF exposure compliance of the UE. </w:t>
      </w:r>
    </w:p>
    <w:p w14:paraId="793D42BA" w14:textId="3EBF587D" w:rsidR="00984048" w:rsidRDefault="00093921" w:rsidP="00CD3B34">
      <w:pPr>
        <w:rPr>
          <w:lang w:val="sv-SE" w:eastAsia="zh-CN"/>
        </w:rPr>
      </w:pPr>
      <w:r>
        <w:rPr>
          <w:lang w:val="sv-SE" w:eastAsia="zh-CN"/>
        </w:rPr>
        <w:t xml:space="preserve">Also in current TS 38.101-1 specification, the UE is allowed to do power back off for self-monitor the ’certain evaluation period’ also in FDD bands. However, from regulator point of view, it does not really convince them, as the condition of this ’certain evaluation period’ is not explicitly specified or ’fixed’ as TDD UL/DL semi-static configurations. </w:t>
      </w:r>
    </w:p>
    <w:p w14:paraId="4DB278CB" w14:textId="6C101A6F" w:rsidR="00093921" w:rsidRDefault="00093921" w:rsidP="00CD3B34">
      <w:pPr>
        <w:rPr>
          <w:lang w:val="sv-SE" w:eastAsia="zh-CN"/>
        </w:rPr>
      </w:pPr>
      <w:r>
        <w:rPr>
          <w:lang w:val="sv-SE" w:eastAsia="zh-CN"/>
        </w:rPr>
        <w:t>So, even though, the 3GPP seems to grant some ’ambituity’ or ’flexibility’ for the HPUE to do power class fall-back in FDD bands, they are not adopted by regulator with confidence.</w:t>
      </w:r>
    </w:p>
    <w:p w14:paraId="7D8810AB" w14:textId="278C1198" w:rsidR="00984048" w:rsidRDefault="00984048" w:rsidP="00CD3B34">
      <w:pPr>
        <w:rPr>
          <w:lang w:val="sv-SE" w:eastAsia="zh-CN"/>
        </w:rPr>
      </w:pPr>
      <w:r>
        <w:rPr>
          <w:lang w:val="sv-SE" w:eastAsia="zh-CN"/>
        </w:rPr>
        <w:t>4. In FDD bands, the UE has been tested under 100% full uplink to guarantee the safety to public in terms of EMF exposure.</w:t>
      </w:r>
    </w:p>
    <w:p w14:paraId="0687D514" w14:textId="7C05DBD7" w:rsidR="006C0DC8" w:rsidRDefault="00093921" w:rsidP="00CD3B34">
      <w:pPr>
        <w:rPr>
          <w:lang w:val="sv-SE" w:eastAsia="zh-CN"/>
        </w:rPr>
      </w:pPr>
      <w:r>
        <w:rPr>
          <w:rFonts w:hint="eastAsia"/>
          <w:lang w:val="sv-SE" w:eastAsia="zh-CN"/>
        </w:rPr>
        <w:t>A</w:t>
      </w:r>
      <w:r>
        <w:rPr>
          <w:lang w:val="sv-SE" w:eastAsia="zh-CN"/>
        </w:rPr>
        <w:t>s the results, the current UE, including HPUE, should be tested under 100% full uplink scheduling to show compliance to EMF exposure in China, and most other region/countries.</w:t>
      </w:r>
    </w:p>
    <w:p w14:paraId="3B07C9BA" w14:textId="0FC10054" w:rsidR="00470297" w:rsidRDefault="00470297" w:rsidP="00CD3B34">
      <w:pPr>
        <w:rPr>
          <w:lang w:val="sv-SE" w:eastAsia="zh-CN"/>
        </w:rPr>
      </w:pPr>
    </w:p>
    <w:p w14:paraId="4F2AACB0" w14:textId="3653C584" w:rsidR="00AA11D4" w:rsidRPr="00470297" w:rsidRDefault="00AA11D4" w:rsidP="00AA11D4">
      <w:pPr>
        <w:rPr>
          <w:b/>
          <w:u w:val="single"/>
          <w:lang w:val="sv-SE" w:eastAsia="zh-CN"/>
        </w:rPr>
      </w:pPr>
      <w:bookmarkStart w:id="3" w:name="OLE_LINK1"/>
      <w:r>
        <w:rPr>
          <w:b/>
          <w:u w:val="single"/>
          <w:lang w:val="sv-SE" w:eastAsia="zh-CN"/>
        </w:rPr>
        <w:t>Challenges in SAR:</w:t>
      </w:r>
    </w:p>
    <w:bookmarkEnd w:id="3"/>
    <w:p w14:paraId="1AFBC41D" w14:textId="77777777" w:rsidR="00AA11D4" w:rsidRDefault="00AA11D4" w:rsidP="00AA11D4">
      <w:pPr>
        <w:rPr>
          <w:lang w:val="sv-SE" w:eastAsia="zh-CN"/>
        </w:rPr>
      </w:pPr>
      <w:r>
        <w:rPr>
          <w:lang w:val="sv-SE" w:eastAsia="zh-CN"/>
        </w:rPr>
        <w:t xml:space="preserve">As a delegate who also works for SAR compliance aspect, I’d like to share the challenges from UE vendors to meet SAR regulation are worsen or tighten every each year. </w:t>
      </w:r>
    </w:p>
    <w:p w14:paraId="50DC1924" w14:textId="46232A4F" w:rsidR="00AA11D4" w:rsidRDefault="00AA11D4" w:rsidP="00AA11D4">
      <w:pPr>
        <w:rPr>
          <w:lang w:val="sv-SE" w:eastAsia="zh-CN"/>
        </w:rPr>
      </w:pPr>
      <w:r>
        <w:rPr>
          <w:lang w:val="sv-SE" w:eastAsia="zh-CN"/>
        </w:rPr>
        <w:t>The test distance has been reduced from 15mm from mobile phone, to 10mm, 5mm and now approaching 0mm.</w:t>
      </w:r>
    </w:p>
    <w:p w14:paraId="4E1ADFCE" w14:textId="1E167BDA" w:rsidR="00AA11D4" w:rsidRDefault="00AA11D4" w:rsidP="00AA11D4">
      <w:pPr>
        <w:rPr>
          <w:lang w:val="sv-SE" w:eastAsia="zh-CN"/>
        </w:rPr>
      </w:pPr>
      <w:r>
        <w:rPr>
          <w:lang w:val="sv-SE" w:eastAsia="zh-CN"/>
        </w:rPr>
        <w:t>The limits start to evolve and expanded from close-to-head to close-to-limb, close-to-body, and even close-to-hand now.</w:t>
      </w:r>
    </w:p>
    <w:p w14:paraId="5F9A245F" w14:textId="04174E1D" w:rsidR="00AA11D4" w:rsidRDefault="00AA11D4" w:rsidP="00AA11D4">
      <w:pPr>
        <w:rPr>
          <w:lang w:val="sv-SE" w:eastAsia="zh-CN"/>
        </w:rPr>
      </w:pPr>
    </w:p>
    <w:p w14:paraId="019A7073" w14:textId="77777777" w:rsidR="00AA11D4" w:rsidRPr="00470297" w:rsidRDefault="00AA11D4" w:rsidP="00AA11D4">
      <w:pPr>
        <w:rPr>
          <w:b/>
          <w:u w:val="single"/>
          <w:lang w:val="sv-SE" w:eastAsia="zh-CN"/>
        </w:rPr>
      </w:pPr>
      <w:r>
        <w:rPr>
          <w:b/>
          <w:u w:val="single"/>
          <w:lang w:val="sv-SE" w:eastAsia="zh-CN"/>
        </w:rPr>
        <w:t>Our view on duty cycle based solution:</w:t>
      </w:r>
    </w:p>
    <w:p w14:paraId="1CD8AFF7" w14:textId="77777777" w:rsidR="00AA11D4" w:rsidRDefault="00AA11D4" w:rsidP="00AA11D4">
      <w:pPr>
        <w:rPr>
          <w:lang w:val="sv-SE" w:eastAsia="zh-CN"/>
        </w:rPr>
      </w:pPr>
      <w:r>
        <w:rPr>
          <w:rFonts w:hint="eastAsia"/>
          <w:lang w:val="sv-SE" w:eastAsia="zh-CN"/>
        </w:rPr>
        <w:lastRenderedPageBreak/>
        <w:t>T</w:t>
      </w:r>
      <w:r>
        <w:rPr>
          <w:lang w:val="sv-SE" w:eastAsia="zh-CN"/>
        </w:rPr>
        <w:t>he advantage parts of simply adopt the duty cycle solution would be to let NTN HPUE to report its designed capability to the network, as a clear message that can be seen and presented to the regulator. With this ’clear message’, we may need to bring extra work either within 3GPP, or outside the 3GPP with the regulators, to prove clearly that our devices will do power back-off under certain test conditions. And this uplink duty cycle information specified in 3GPP may give some credentials to the regulator for considering it.</w:t>
      </w:r>
    </w:p>
    <w:p w14:paraId="3944AD77" w14:textId="56914EA1" w:rsidR="008A05FB" w:rsidRDefault="00AA11D4" w:rsidP="00AA11D4">
      <w:pPr>
        <w:rPr>
          <w:lang w:val="sv-SE" w:eastAsia="zh-CN"/>
        </w:rPr>
      </w:pPr>
      <w:r>
        <w:rPr>
          <w:lang w:val="sv-SE" w:eastAsia="zh-CN"/>
        </w:rPr>
        <w:t>The disadvantage parts of the current duty cycle solution is that, from our pratice with regulators, it seems not a complete one. The UE can perform power back off if it’s been transmitted beyond its reported capability within a ’certain evaluation period’. We understood the flexibility was given to UE vendors, like us, for implementation. But the regulator is not really buying the flexibility, especially for FDD bands. They wanted to make sure the EMF exposure of a certain device to meet limit under worst-case situation.</w:t>
      </w:r>
    </w:p>
    <w:p w14:paraId="1F825C65" w14:textId="16CF2F24" w:rsidR="008A05FB" w:rsidRPr="008A05FB" w:rsidRDefault="008A05FB" w:rsidP="00AA11D4">
      <w:pPr>
        <w:rPr>
          <w:lang w:val="sv-SE" w:eastAsia="zh-CN"/>
        </w:rPr>
      </w:pPr>
      <w:r>
        <w:rPr>
          <w:rFonts w:hint="eastAsia"/>
          <w:lang w:val="sv-SE" w:eastAsia="zh-CN"/>
        </w:rPr>
        <w:t>A</w:t>
      </w:r>
      <w:r>
        <w:rPr>
          <w:lang w:val="sv-SE" w:eastAsia="zh-CN"/>
        </w:rPr>
        <w:t xml:space="preserve">nd another disadvantage parts of the current duty cycle solution is that it asks 3/6 dB power back off, if the uplink symbols within a certain evaluation period is larger than the reported capability. And this evaluation period is specified </w:t>
      </w:r>
      <w:r w:rsidR="00BA0832">
        <w:rPr>
          <w:lang w:val="sv-SE" w:eastAsia="zh-CN"/>
        </w:rPr>
        <w:t>as no less than 1 radio frame. The power back off range is a little bit large in this NTN scenario, especially considering the condition itself has some flexibility in it.</w:t>
      </w:r>
    </w:p>
    <w:p w14:paraId="3B339791" w14:textId="4E4E60DD" w:rsidR="00093921" w:rsidRDefault="00093921" w:rsidP="00CD3B34">
      <w:pPr>
        <w:rPr>
          <w:lang w:val="sv-SE" w:eastAsia="zh-CN"/>
        </w:rPr>
      </w:pPr>
    </w:p>
    <w:p w14:paraId="0F561BC1" w14:textId="326C71B7" w:rsidR="00BA0832" w:rsidRDefault="00BA0832" w:rsidP="00CD3B34">
      <w:pPr>
        <w:rPr>
          <w:lang w:val="sv-SE" w:eastAsia="zh-CN"/>
        </w:rPr>
      </w:pPr>
      <w:r>
        <w:rPr>
          <w:lang w:val="sv-SE" w:eastAsia="zh-CN"/>
        </w:rPr>
        <w:t>Having said above, we are open to discuss all the solutions on the table, to the best practice to help the UE to meet this SAR challenges in the best pratical way.</w:t>
      </w:r>
    </w:p>
    <w:p w14:paraId="0553429D" w14:textId="7EA78006" w:rsidR="00BA0832" w:rsidRDefault="00DB79A9" w:rsidP="00CD3B34">
      <w:pPr>
        <w:rPr>
          <w:lang w:val="sv-SE" w:eastAsia="zh-CN"/>
        </w:rPr>
      </w:pPr>
      <w:r>
        <w:rPr>
          <w:lang w:val="sv-SE" w:eastAsia="zh-CN"/>
        </w:rPr>
        <w:t>And given the successful practice of this duty cycle based solution in TDD bands, we would like to propose the meeting to consider if the NTN network can notify the UE or to the cell or to the beam with a referenced upper bound uplink ratio so that the legacy duty cycle based solution could better work and presented to the regulaor in NTN FDD operations.</w:t>
      </w:r>
    </w:p>
    <w:p w14:paraId="7AE753A6" w14:textId="19260A33" w:rsidR="00DB79A9" w:rsidRPr="00DB79A9" w:rsidRDefault="00DB79A9" w:rsidP="00CD3B34">
      <w:pPr>
        <w:rPr>
          <w:b/>
          <w:lang w:val="sv-SE" w:eastAsia="zh-CN"/>
        </w:rPr>
      </w:pPr>
      <w:r w:rsidRPr="00DB79A9">
        <w:rPr>
          <w:b/>
          <w:lang w:val="sv-SE" w:eastAsia="zh-CN"/>
        </w:rPr>
        <w:t xml:space="preserve">Proposal 1: To have the network to notify/signal its upper bound of uplink ratio for a certain time duration, either dynamic or semi-static, similar as TN TDD UL/DL config, to the UE or the current cell or beam. </w:t>
      </w:r>
      <w:r>
        <w:rPr>
          <w:b/>
          <w:lang w:val="sv-SE" w:eastAsia="zh-CN"/>
        </w:rPr>
        <w:t>With this, the duty cycle based solution can better work and proved to the regulator under the NTN FDD operation for NTN HPUE.</w:t>
      </w:r>
    </w:p>
    <w:p w14:paraId="1DBB87D9" w14:textId="77777777" w:rsidR="00DB79A9" w:rsidRPr="00AA11D4" w:rsidRDefault="00DB79A9" w:rsidP="00CD3B34">
      <w:pPr>
        <w:rPr>
          <w:lang w:val="sv-SE" w:eastAsia="zh-CN"/>
        </w:rPr>
      </w:pPr>
    </w:p>
    <w:bookmarkEnd w:id="1"/>
    <w:bookmarkEnd w:id="2"/>
    <w:p w14:paraId="08857DE8" w14:textId="1B108256" w:rsidR="009B1101" w:rsidRPr="00D64FA5" w:rsidRDefault="00580C68" w:rsidP="009B1101">
      <w:pPr>
        <w:pStyle w:val="1"/>
        <w:jc w:val="both"/>
        <w:rPr>
          <w:lang w:val="en-US"/>
        </w:rPr>
      </w:pPr>
      <w:r>
        <w:rPr>
          <w:lang w:val="en-US"/>
        </w:rPr>
        <w:t>3</w:t>
      </w:r>
      <w:r w:rsidR="009B1101">
        <w:rPr>
          <w:lang w:val="en-US"/>
        </w:rPr>
        <w:tab/>
      </w:r>
      <w:r w:rsidR="009B1101" w:rsidRPr="00D64FA5">
        <w:rPr>
          <w:lang w:val="en-US"/>
        </w:rPr>
        <w:t>Conclusion</w:t>
      </w:r>
    </w:p>
    <w:p w14:paraId="043BEFF9" w14:textId="0DAEC431" w:rsidR="009B1101" w:rsidRDefault="009B1101" w:rsidP="009B1101">
      <w:r>
        <w:rPr>
          <w:rFonts w:hint="eastAsia"/>
          <w:lang w:eastAsia="ja-JP"/>
        </w:rPr>
        <w:t xml:space="preserve">For </w:t>
      </w:r>
      <w:r w:rsidR="00093921">
        <w:rPr>
          <w:lang w:eastAsia="ja-JP"/>
        </w:rPr>
        <w:t xml:space="preserve">NTN HPUE </w:t>
      </w:r>
      <w:r w:rsidR="00476C01">
        <w:rPr>
          <w:lang w:eastAsia="zh-CN"/>
        </w:rPr>
        <w:t>SAR solutions</w:t>
      </w:r>
      <w:r>
        <w:rPr>
          <w:rFonts w:hint="eastAsia"/>
          <w:lang w:eastAsia="ja-JP"/>
        </w:rPr>
        <w:t>, w</w:t>
      </w:r>
      <w:r>
        <w:t xml:space="preserve">e propose </w:t>
      </w:r>
      <w:r>
        <w:rPr>
          <w:rFonts w:hint="eastAsia"/>
          <w:lang w:eastAsia="ja-JP"/>
        </w:rPr>
        <w:t>the following</w:t>
      </w:r>
      <w:r w:rsidR="0090470B">
        <w:t>:</w:t>
      </w:r>
    </w:p>
    <w:p w14:paraId="4D75E5D4" w14:textId="72EA2C38" w:rsidR="00476C01" w:rsidRDefault="00476C01" w:rsidP="00476C01">
      <w:pPr>
        <w:rPr>
          <w:lang w:val="sv-SE" w:eastAsia="zh-CN"/>
        </w:rPr>
      </w:pPr>
      <w:bookmarkStart w:id="4" w:name="OLE_LINK2"/>
      <w:bookmarkStart w:id="5" w:name="OLE_LINK5"/>
      <w:r w:rsidRPr="00737BA6">
        <w:rPr>
          <w:rFonts w:hint="eastAsia"/>
          <w:b/>
          <w:lang w:val="sv-SE" w:eastAsia="zh-CN"/>
        </w:rPr>
        <w:t>O</w:t>
      </w:r>
      <w:r w:rsidRPr="00737BA6">
        <w:rPr>
          <w:b/>
          <w:lang w:val="sv-SE" w:eastAsia="zh-CN"/>
        </w:rPr>
        <w:t>bservation</w:t>
      </w:r>
      <w:r w:rsidR="00093921">
        <w:rPr>
          <w:b/>
          <w:lang w:val="sv-SE" w:eastAsia="zh-CN"/>
        </w:rPr>
        <w:t>s</w:t>
      </w:r>
      <w:r w:rsidR="00AA11D4">
        <w:rPr>
          <w:b/>
          <w:lang w:val="sv-SE" w:eastAsia="zh-CN"/>
        </w:rPr>
        <w:t xml:space="preserve"> from us after meetings with local regulator</w:t>
      </w:r>
      <w:r>
        <w:rPr>
          <w:lang w:val="sv-SE" w:eastAsia="zh-CN"/>
        </w:rPr>
        <w:t xml:space="preserve">: </w:t>
      </w:r>
    </w:p>
    <w:bookmarkEnd w:id="4"/>
    <w:bookmarkEnd w:id="5"/>
    <w:p w14:paraId="10010BA5" w14:textId="77777777" w:rsidR="00093921" w:rsidRDefault="00093921" w:rsidP="00093921">
      <w:pPr>
        <w:rPr>
          <w:lang w:val="sv-SE" w:eastAsia="zh-CN"/>
        </w:rPr>
      </w:pPr>
      <w:r>
        <w:rPr>
          <w:lang w:val="sv-SE" w:eastAsia="zh-CN"/>
        </w:rPr>
        <w:t xml:space="preserve">1. The previous 3GPP designed duty cycle based SAR solution was ’partially’ introduced in China local market certification/ authorization process, only in TDD bands. </w:t>
      </w:r>
    </w:p>
    <w:p w14:paraId="139A169A" w14:textId="77777777" w:rsidR="00093921" w:rsidRDefault="00093921" w:rsidP="00093921">
      <w:pPr>
        <w:rPr>
          <w:lang w:val="sv-SE" w:eastAsia="zh-CN"/>
        </w:rPr>
      </w:pPr>
      <w:r>
        <w:rPr>
          <w:lang w:val="sv-SE" w:eastAsia="zh-CN"/>
        </w:rPr>
        <w:t>2. The 3GPP HPUE operating in TDD band were tested under the highest authorized uplink ratio, but smaller than the UE reported uplink duty cycle capability under certain power class, that authorized by regulator to local MNO.</w:t>
      </w:r>
    </w:p>
    <w:p w14:paraId="597D53C6" w14:textId="77777777" w:rsidR="00093921" w:rsidRDefault="00093921" w:rsidP="00093921">
      <w:pPr>
        <w:rPr>
          <w:lang w:val="sv-SE" w:eastAsia="zh-CN"/>
        </w:rPr>
      </w:pPr>
      <w:r>
        <w:rPr>
          <w:lang w:val="sv-SE" w:eastAsia="zh-CN"/>
        </w:rPr>
        <w:t>3. This practice has not been expanded to FDD bands, as the regulator cannot control the FDD bands UL/DL scheduling ratio, and same to the UE behavior.</w:t>
      </w:r>
    </w:p>
    <w:p w14:paraId="7FCB75F3" w14:textId="1CAF66B1" w:rsidR="00093921" w:rsidRDefault="00093921" w:rsidP="00093921">
      <w:pPr>
        <w:rPr>
          <w:lang w:val="sv-SE" w:eastAsia="zh-CN"/>
        </w:rPr>
      </w:pPr>
      <w:r>
        <w:rPr>
          <w:lang w:val="sv-SE" w:eastAsia="zh-CN"/>
        </w:rPr>
        <w:t>4. In FDD bands, the UE has been tested under 100% full uplink to guarantee the safety to public in terms of EMF exposure.</w:t>
      </w:r>
    </w:p>
    <w:p w14:paraId="10036201" w14:textId="4419637F" w:rsidR="00AA11D4" w:rsidRDefault="00AA11D4" w:rsidP="00093921">
      <w:pPr>
        <w:rPr>
          <w:b/>
          <w:lang w:val="sv-SE" w:eastAsia="zh-CN"/>
        </w:rPr>
      </w:pPr>
    </w:p>
    <w:p w14:paraId="4410420B" w14:textId="77777777" w:rsidR="00DB79A9" w:rsidRPr="00DB79A9" w:rsidRDefault="00DB79A9" w:rsidP="00DB79A9">
      <w:pPr>
        <w:rPr>
          <w:b/>
          <w:lang w:val="sv-SE" w:eastAsia="zh-CN"/>
        </w:rPr>
      </w:pPr>
      <w:r w:rsidRPr="00DB79A9">
        <w:rPr>
          <w:b/>
          <w:lang w:val="sv-SE" w:eastAsia="zh-CN"/>
        </w:rPr>
        <w:t xml:space="preserve">Proposal 1: To have the network to notify/signal its upper bound of uplink ratio for a certain time duration, either dynamic or semi-static, similar as TN TDD UL/DL config, to the UE or the current cell or beam. </w:t>
      </w:r>
      <w:r>
        <w:rPr>
          <w:b/>
          <w:lang w:val="sv-SE" w:eastAsia="zh-CN"/>
        </w:rPr>
        <w:t>With this, the duty cycle based solution can better work and proved to the regulator under the NTN FDD operation for NTN HPUE.</w:t>
      </w:r>
    </w:p>
    <w:p w14:paraId="1D0AD814" w14:textId="77777777" w:rsidR="00DB79A9" w:rsidRPr="00DB79A9" w:rsidRDefault="00DB79A9" w:rsidP="00093921">
      <w:pPr>
        <w:rPr>
          <w:b/>
          <w:lang w:val="sv-SE" w:eastAsia="zh-CN"/>
        </w:rPr>
      </w:pPr>
    </w:p>
    <w:p w14:paraId="15C90359" w14:textId="31178CF1" w:rsidR="009B1101" w:rsidRPr="0042663F" w:rsidRDefault="00580C68" w:rsidP="009B1101">
      <w:pPr>
        <w:pStyle w:val="1"/>
        <w:jc w:val="both"/>
        <w:rPr>
          <w:lang w:val="en-US"/>
        </w:rPr>
      </w:pPr>
      <w:r>
        <w:rPr>
          <w:lang w:val="en-US" w:eastAsia="zh-CN"/>
        </w:rPr>
        <w:t>4</w:t>
      </w:r>
      <w:r w:rsidR="009B1101">
        <w:rPr>
          <w:lang w:val="en-US"/>
        </w:rPr>
        <w:tab/>
      </w:r>
      <w:r w:rsidR="009B1101" w:rsidRPr="0042663F">
        <w:rPr>
          <w:lang w:val="en-US"/>
        </w:rPr>
        <w:t>Reference</w:t>
      </w:r>
    </w:p>
    <w:p w14:paraId="70427C39" w14:textId="030DA795" w:rsidR="001F5536" w:rsidRDefault="0079615B" w:rsidP="00EF3EFD">
      <w:pPr>
        <w:rPr>
          <w:lang w:val="sv-SE" w:eastAsia="zh-CN"/>
        </w:rPr>
      </w:pPr>
      <w:r>
        <w:rPr>
          <w:lang w:val="sv-SE" w:eastAsia="zh-CN"/>
        </w:rPr>
        <w:t>[</w:t>
      </w:r>
      <w:r w:rsidR="007709A7">
        <w:rPr>
          <w:lang w:val="sv-SE" w:eastAsia="zh-CN"/>
        </w:rPr>
        <w:t>1</w:t>
      </w:r>
      <w:r>
        <w:rPr>
          <w:lang w:val="sv-SE" w:eastAsia="zh-CN"/>
        </w:rPr>
        <w:t>] R4-2</w:t>
      </w:r>
      <w:r w:rsidR="00CD361A">
        <w:rPr>
          <w:lang w:val="sv-SE" w:eastAsia="zh-CN"/>
        </w:rPr>
        <w:t>50</w:t>
      </w:r>
      <w:r w:rsidR="001E7433">
        <w:rPr>
          <w:lang w:val="sv-SE" w:eastAsia="zh-CN"/>
        </w:rPr>
        <w:t>5114</w:t>
      </w:r>
      <w:r>
        <w:rPr>
          <w:lang w:val="sv-SE" w:eastAsia="zh-CN"/>
        </w:rPr>
        <w:t xml:space="preserve">, WF on </w:t>
      </w:r>
      <w:r w:rsidR="00C525D5">
        <w:rPr>
          <w:lang w:val="sv-SE" w:eastAsia="zh-CN"/>
        </w:rPr>
        <w:t xml:space="preserve">HPUE </w:t>
      </w:r>
      <w:r w:rsidR="001E7433">
        <w:rPr>
          <w:lang w:val="sv-SE" w:eastAsia="zh-CN"/>
        </w:rPr>
        <w:t xml:space="preserve">RF </w:t>
      </w:r>
      <w:r w:rsidR="00C525D5">
        <w:rPr>
          <w:lang w:val="sv-SE" w:eastAsia="zh-CN"/>
        </w:rPr>
        <w:t>requirement</w:t>
      </w:r>
      <w:r w:rsidR="0077713F">
        <w:rPr>
          <w:lang w:val="sv-SE" w:eastAsia="zh-CN"/>
        </w:rPr>
        <w:t xml:space="preserve"> for </w:t>
      </w:r>
      <w:r w:rsidR="00C525D5">
        <w:rPr>
          <w:lang w:val="sv-SE" w:eastAsia="zh-CN"/>
        </w:rPr>
        <w:t>IoT</w:t>
      </w:r>
      <w:r w:rsidR="0077713F">
        <w:rPr>
          <w:lang w:val="sv-SE" w:eastAsia="zh-CN"/>
        </w:rPr>
        <w:t>-NTN</w:t>
      </w:r>
      <w:r>
        <w:rPr>
          <w:lang w:val="sv-SE" w:eastAsia="zh-CN"/>
        </w:rPr>
        <w:t xml:space="preserve">, </w:t>
      </w:r>
      <w:r w:rsidR="00C525D5">
        <w:rPr>
          <w:lang w:val="sv-SE" w:eastAsia="zh-CN"/>
        </w:rPr>
        <w:t>vivo</w:t>
      </w:r>
    </w:p>
    <w:p w14:paraId="3DE2A3D8" w14:textId="0139054D" w:rsidR="000137D1" w:rsidRPr="000B3968" w:rsidRDefault="006958DA" w:rsidP="00EF3EFD">
      <w:pPr>
        <w:rPr>
          <w:lang w:val="sv-SE" w:eastAsia="zh-CN"/>
        </w:rPr>
      </w:pPr>
      <w:r>
        <w:rPr>
          <w:lang w:val="sv-SE" w:eastAsia="zh-CN"/>
        </w:rPr>
        <w:lastRenderedPageBreak/>
        <w:t>[2] R4-250</w:t>
      </w:r>
      <w:r w:rsidR="000137D1">
        <w:rPr>
          <w:lang w:val="sv-SE" w:eastAsia="zh-CN"/>
        </w:rPr>
        <w:t>4335, Discussion on IoT-NTN HPUE Tx and SAR, Samsung</w:t>
      </w:r>
    </w:p>
    <w:sectPr w:rsidR="000137D1"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E879D" w14:textId="77777777" w:rsidR="00686FB4" w:rsidRDefault="00686FB4" w:rsidP="006165E1">
      <w:pPr>
        <w:spacing w:after="0"/>
      </w:pPr>
      <w:r>
        <w:separator/>
      </w:r>
    </w:p>
  </w:endnote>
  <w:endnote w:type="continuationSeparator" w:id="0">
    <w:p w14:paraId="3201AAA8" w14:textId="77777777" w:rsidR="00686FB4" w:rsidRDefault="00686FB4"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C7DE9" w14:textId="77777777" w:rsidR="00686FB4" w:rsidRDefault="00686FB4" w:rsidP="006165E1">
      <w:pPr>
        <w:spacing w:after="0"/>
      </w:pPr>
      <w:r>
        <w:separator/>
      </w:r>
    </w:p>
  </w:footnote>
  <w:footnote w:type="continuationSeparator" w:id="0">
    <w:p w14:paraId="25BAE2E6" w14:textId="77777777" w:rsidR="00686FB4" w:rsidRDefault="00686FB4"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01BC4"/>
    <w:multiLevelType w:val="hybridMultilevel"/>
    <w:tmpl w:val="03146564"/>
    <w:lvl w:ilvl="0" w:tplc="285A86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77F966BD"/>
    <w:multiLevelType w:val="hybridMultilevel"/>
    <w:tmpl w:val="E83007DA"/>
    <w:lvl w:ilvl="0" w:tplc="823E1A9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0"/>
  </w:num>
  <w:num w:numId="5">
    <w:abstractNumId w:val="5"/>
  </w:num>
  <w:num w:numId="6">
    <w:abstractNumId w:val="4"/>
  </w:num>
  <w:num w:numId="7">
    <w:abstractNumId w:val="2"/>
  </w:num>
  <w:num w:numId="8">
    <w:abstractNumId w:val="6"/>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137D1"/>
    <w:rsid w:val="00024019"/>
    <w:rsid w:val="00025AE6"/>
    <w:rsid w:val="00031F62"/>
    <w:rsid w:val="0003403D"/>
    <w:rsid w:val="0003540B"/>
    <w:rsid w:val="000376CE"/>
    <w:rsid w:val="000414A7"/>
    <w:rsid w:val="000461DB"/>
    <w:rsid w:val="00057514"/>
    <w:rsid w:val="00057A90"/>
    <w:rsid w:val="00060A99"/>
    <w:rsid w:val="0006127D"/>
    <w:rsid w:val="00062129"/>
    <w:rsid w:val="0006795C"/>
    <w:rsid w:val="0007197B"/>
    <w:rsid w:val="000734E9"/>
    <w:rsid w:val="000747CE"/>
    <w:rsid w:val="00074BC9"/>
    <w:rsid w:val="000761DD"/>
    <w:rsid w:val="00076746"/>
    <w:rsid w:val="00084121"/>
    <w:rsid w:val="0008662F"/>
    <w:rsid w:val="00087C16"/>
    <w:rsid w:val="00092C90"/>
    <w:rsid w:val="00093921"/>
    <w:rsid w:val="000955D7"/>
    <w:rsid w:val="00097635"/>
    <w:rsid w:val="000A2D5A"/>
    <w:rsid w:val="000A4AA9"/>
    <w:rsid w:val="000A62F0"/>
    <w:rsid w:val="000A66B6"/>
    <w:rsid w:val="000B0F0F"/>
    <w:rsid w:val="000B3968"/>
    <w:rsid w:val="000B39D7"/>
    <w:rsid w:val="000B500E"/>
    <w:rsid w:val="000C162D"/>
    <w:rsid w:val="000D2169"/>
    <w:rsid w:val="000D37D2"/>
    <w:rsid w:val="000E7E6F"/>
    <w:rsid w:val="000F0F24"/>
    <w:rsid w:val="001019D0"/>
    <w:rsid w:val="001045CF"/>
    <w:rsid w:val="00111A49"/>
    <w:rsid w:val="00111B5C"/>
    <w:rsid w:val="00113700"/>
    <w:rsid w:val="001157B3"/>
    <w:rsid w:val="00117B0A"/>
    <w:rsid w:val="00121402"/>
    <w:rsid w:val="00125501"/>
    <w:rsid w:val="001365BA"/>
    <w:rsid w:val="00137303"/>
    <w:rsid w:val="00140F48"/>
    <w:rsid w:val="00145AA9"/>
    <w:rsid w:val="001469E5"/>
    <w:rsid w:val="00151712"/>
    <w:rsid w:val="00167EEB"/>
    <w:rsid w:val="00170A1E"/>
    <w:rsid w:val="00182F5C"/>
    <w:rsid w:val="001852D3"/>
    <w:rsid w:val="001A3FB5"/>
    <w:rsid w:val="001A6C6C"/>
    <w:rsid w:val="001B593C"/>
    <w:rsid w:val="001B6EBE"/>
    <w:rsid w:val="001C1FE2"/>
    <w:rsid w:val="001C2B28"/>
    <w:rsid w:val="001C2C3B"/>
    <w:rsid w:val="001D12C7"/>
    <w:rsid w:val="001D1AB7"/>
    <w:rsid w:val="001D1C53"/>
    <w:rsid w:val="001D28D3"/>
    <w:rsid w:val="001D330E"/>
    <w:rsid w:val="001D759D"/>
    <w:rsid w:val="001E2428"/>
    <w:rsid w:val="001E7433"/>
    <w:rsid w:val="001F11C7"/>
    <w:rsid w:val="001F5536"/>
    <w:rsid w:val="001F5A7C"/>
    <w:rsid w:val="001F62FC"/>
    <w:rsid w:val="002014D0"/>
    <w:rsid w:val="00213C59"/>
    <w:rsid w:val="00216843"/>
    <w:rsid w:val="00216DF3"/>
    <w:rsid w:val="00231CC1"/>
    <w:rsid w:val="00235E38"/>
    <w:rsid w:val="00236C4A"/>
    <w:rsid w:val="002458C8"/>
    <w:rsid w:val="00245A6E"/>
    <w:rsid w:val="002463E8"/>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10E5"/>
    <w:rsid w:val="002C528E"/>
    <w:rsid w:val="002C6855"/>
    <w:rsid w:val="002C78DC"/>
    <w:rsid w:val="002C7B77"/>
    <w:rsid w:val="002D2A0C"/>
    <w:rsid w:val="002D7346"/>
    <w:rsid w:val="002D75F2"/>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7C5"/>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142A"/>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0297"/>
    <w:rsid w:val="00472F60"/>
    <w:rsid w:val="00473CF8"/>
    <w:rsid w:val="00474FCF"/>
    <w:rsid w:val="00476C01"/>
    <w:rsid w:val="00481350"/>
    <w:rsid w:val="00485404"/>
    <w:rsid w:val="0049313B"/>
    <w:rsid w:val="00497B39"/>
    <w:rsid w:val="004A139B"/>
    <w:rsid w:val="004A1D6C"/>
    <w:rsid w:val="004A3216"/>
    <w:rsid w:val="004B0981"/>
    <w:rsid w:val="004B2C6F"/>
    <w:rsid w:val="004B54EE"/>
    <w:rsid w:val="004D2F29"/>
    <w:rsid w:val="004D705B"/>
    <w:rsid w:val="004E67B5"/>
    <w:rsid w:val="004F4EE5"/>
    <w:rsid w:val="004F525A"/>
    <w:rsid w:val="004F6D35"/>
    <w:rsid w:val="00503A7B"/>
    <w:rsid w:val="00504FEF"/>
    <w:rsid w:val="00505441"/>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976"/>
    <w:rsid w:val="00574BDC"/>
    <w:rsid w:val="00580C68"/>
    <w:rsid w:val="005820B5"/>
    <w:rsid w:val="00597358"/>
    <w:rsid w:val="005A1996"/>
    <w:rsid w:val="005A52C3"/>
    <w:rsid w:val="005A6BE9"/>
    <w:rsid w:val="005B3563"/>
    <w:rsid w:val="005C135C"/>
    <w:rsid w:val="005C3D4B"/>
    <w:rsid w:val="005C4278"/>
    <w:rsid w:val="005D339F"/>
    <w:rsid w:val="005D4E13"/>
    <w:rsid w:val="005D6F82"/>
    <w:rsid w:val="005E1D56"/>
    <w:rsid w:val="005E40C3"/>
    <w:rsid w:val="005E5669"/>
    <w:rsid w:val="005F0936"/>
    <w:rsid w:val="005F1C1F"/>
    <w:rsid w:val="005F1C54"/>
    <w:rsid w:val="005F1DCE"/>
    <w:rsid w:val="005F2538"/>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36DA"/>
    <w:rsid w:val="006540F2"/>
    <w:rsid w:val="00654AA3"/>
    <w:rsid w:val="006553F2"/>
    <w:rsid w:val="00665DEF"/>
    <w:rsid w:val="00673034"/>
    <w:rsid w:val="0068031F"/>
    <w:rsid w:val="00680406"/>
    <w:rsid w:val="00686FB4"/>
    <w:rsid w:val="006924D0"/>
    <w:rsid w:val="00692565"/>
    <w:rsid w:val="006958DA"/>
    <w:rsid w:val="00697B4B"/>
    <w:rsid w:val="006A42EE"/>
    <w:rsid w:val="006A5323"/>
    <w:rsid w:val="006A6BBE"/>
    <w:rsid w:val="006B26E6"/>
    <w:rsid w:val="006B6B74"/>
    <w:rsid w:val="006C0AE1"/>
    <w:rsid w:val="006C0DC8"/>
    <w:rsid w:val="006C1082"/>
    <w:rsid w:val="006C178C"/>
    <w:rsid w:val="006C74F2"/>
    <w:rsid w:val="006D53CD"/>
    <w:rsid w:val="006D77DC"/>
    <w:rsid w:val="006E5F7A"/>
    <w:rsid w:val="006E7BB8"/>
    <w:rsid w:val="006F722C"/>
    <w:rsid w:val="007123A0"/>
    <w:rsid w:val="00713797"/>
    <w:rsid w:val="00714520"/>
    <w:rsid w:val="0071744B"/>
    <w:rsid w:val="007178D4"/>
    <w:rsid w:val="00717CA0"/>
    <w:rsid w:val="00724458"/>
    <w:rsid w:val="00724C05"/>
    <w:rsid w:val="00727A35"/>
    <w:rsid w:val="00727BFD"/>
    <w:rsid w:val="007305D9"/>
    <w:rsid w:val="00731E20"/>
    <w:rsid w:val="0073665F"/>
    <w:rsid w:val="00737BA6"/>
    <w:rsid w:val="00744516"/>
    <w:rsid w:val="00756C80"/>
    <w:rsid w:val="0076153D"/>
    <w:rsid w:val="0076472B"/>
    <w:rsid w:val="00766576"/>
    <w:rsid w:val="007709A7"/>
    <w:rsid w:val="007712B3"/>
    <w:rsid w:val="00774444"/>
    <w:rsid w:val="00774626"/>
    <w:rsid w:val="0077713F"/>
    <w:rsid w:val="00777EEF"/>
    <w:rsid w:val="00784193"/>
    <w:rsid w:val="00790A07"/>
    <w:rsid w:val="0079615B"/>
    <w:rsid w:val="007A2D2A"/>
    <w:rsid w:val="007A77B2"/>
    <w:rsid w:val="007B6B5C"/>
    <w:rsid w:val="007C0DB1"/>
    <w:rsid w:val="007D009A"/>
    <w:rsid w:val="007E0CCC"/>
    <w:rsid w:val="007E4317"/>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753B6"/>
    <w:rsid w:val="0087647A"/>
    <w:rsid w:val="00881CCD"/>
    <w:rsid w:val="00890CDE"/>
    <w:rsid w:val="00891C63"/>
    <w:rsid w:val="00892DC6"/>
    <w:rsid w:val="00893B44"/>
    <w:rsid w:val="008A05FB"/>
    <w:rsid w:val="008A7BA9"/>
    <w:rsid w:val="008B2E9F"/>
    <w:rsid w:val="008B3B78"/>
    <w:rsid w:val="008B3E51"/>
    <w:rsid w:val="008B4625"/>
    <w:rsid w:val="008C6750"/>
    <w:rsid w:val="008D0588"/>
    <w:rsid w:val="008D0B02"/>
    <w:rsid w:val="008D2DC6"/>
    <w:rsid w:val="008D58B4"/>
    <w:rsid w:val="008E0905"/>
    <w:rsid w:val="008E1CED"/>
    <w:rsid w:val="008E343E"/>
    <w:rsid w:val="008E47E6"/>
    <w:rsid w:val="008F08D0"/>
    <w:rsid w:val="008F2706"/>
    <w:rsid w:val="00901346"/>
    <w:rsid w:val="0090321C"/>
    <w:rsid w:val="0090470B"/>
    <w:rsid w:val="00906865"/>
    <w:rsid w:val="009112D7"/>
    <w:rsid w:val="00914ABF"/>
    <w:rsid w:val="009201D7"/>
    <w:rsid w:val="009238B9"/>
    <w:rsid w:val="009259BA"/>
    <w:rsid w:val="00926389"/>
    <w:rsid w:val="009306DC"/>
    <w:rsid w:val="009354CE"/>
    <w:rsid w:val="00935E78"/>
    <w:rsid w:val="0093677B"/>
    <w:rsid w:val="00940222"/>
    <w:rsid w:val="009458C1"/>
    <w:rsid w:val="00951FE8"/>
    <w:rsid w:val="009538CC"/>
    <w:rsid w:val="00953A50"/>
    <w:rsid w:val="00961595"/>
    <w:rsid w:val="009666B3"/>
    <w:rsid w:val="0096690A"/>
    <w:rsid w:val="00970B70"/>
    <w:rsid w:val="00971943"/>
    <w:rsid w:val="009748BF"/>
    <w:rsid w:val="009811FF"/>
    <w:rsid w:val="00984048"/>
    <w:rsid w:val="009A62C0"/>
    <w:rsid w:val="009A7CA7"/>
    <w:rsid w:val="009B1101"/>
    <w:rsid w:val="009B12AF"/>
    <w:rsid w:val="009B5839"/>
    <w:rsid w:val="009C6211"/>
    <w:rsid w:val="009D3239"/>
    <w:rsid w:val="009E4EB9"/>
    <w:rsid w:val="009E7B7F"/>
    <w:rsid w:val="009F473E"/>
    <w:rsid w:val="00A01ADF"/>
    <w:rsid w:val="00A02267"/>
    <w:rsid w:val="00A03687"/>
    <w:rsid w:val="00A047C0"/>
    <w:rsid w:val="00A20DD6"/>
    <w:rsid w:val="00A22A01"/>
    <w:rsid w:val="00A242FD"/>
    <w:rsid w:val="00A27B6A"/>
    <w:rsid w:val="00A3370F"/>
    <w:rsid w:val="00A3704C"/>
    <w:rsid w:val="00A37739"/>
    <w:rsid w:val="00A4082E"/>
    <w:rsid w:val="00A46DB4"/>
    <w:rsid w:val="00A50FCE"/>
    <w:rsid w:val="00A52B33"/>
    <w:rsid w:val="00A538F5"/>
    <w:rsid w:val="00A541DB"/>
    <w:rsid w:val="00A57AC6"/>
    <w:rsid w:val="00A60DDE"/>
    <w:rsid w:val="00A71C58"/>
    <w:rsid w:val="00A8061E"/>
    <w:rsid w:val="00A83FF5"/>
    <w:rsid w:val="00A84450"/>
    <w:rsid w:val="00A85911"/>
    <w:rsid w:val="00AA0044"/>
    <w:rsid w:val="00AA11D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6355C"/>
    <w:rsid w:val="00B648F0"/>
    <w:rsid w:val="00B738EA"/>
    <w:rsid w:val="00B77E7F"/>
    <w:rsid w:val="00B80475"/>
    <w:rsid w:val="00B807E1"/>
    <w:rsid w:val="00B863AD"/>
    <w:rsid w:val="00B86480"/>
    <w:rsid w:val="00B868AF"/>
    <w:rsid w:val="00BA0832"/>
    <w:rsid w:val="00BA50C6"/>
    <w:rsid w:val="00BA5849"/>
    <w:rsid w:val="00BC250E"/>
    <w:rsid w:val="00BC386A"/>
    <w:rsid w:val="00BC3E9D"/>
    <w:rsid w:val="00BC4F68"/>
    <w:rsid w:val="00BC50A1"/>
    <w:rsid w:val="00BC78F8"/>
    <w:rsid w:val="00BD25A7"/>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336C7"/>
    <w:rsid w:val="00C407D0"/>
    <w:rsid w:val="00C50838"/>
    <w:rsid w:val="00C525D5"/>
    <w:rsid w:val="00C5275A"/>
    <w:rsid w:val="00C5394A"/>
    <w:rsid w:val="00C726FA"/>
    <w:rsid w:val="00C73DD3"/>
    <w:rsid w:val="00C827A0"/>
    <w:rsid w:val="00C82A65"/>
    <w:rsid w:val="00C90BE5"/>
    <w:rsid w:val="00C9207C"/>
    <w:rsid w:val="00C95266"/>
    <w:rsid w:val="00CA0DA8"/>
    <w:rsid w:val="00CA3F1D"/>
    <w:rsid w:val="00CA7FAB"/>
    <w:rsid w:val="00CB0242"/>
    <w:rsid w:val="00CB14A2"/>
    <w:rsid w:val="00CC1F12"/>
    <w:rsid w:val="00CC3D43"/>
    <w:rsid w:val="00CC59B0"/>
    <w:rsid w:val="00CD361A"/>
    <w:rsid w:val="00CD3B34"/>
    <w:rsid w:val="00CD6A92"/>
    <w:rsid w:val="00CE1408"/>
    <w:rsid w:val="00CE66F3"/>
    <w:rsid w:val="00CF2A2A"/>
    <w:rsid w:val="00CF4E9A"/>
    <w:rsid w:val="00CF74A8"/>
    <w:rsid w:val="00D00A33"/>
    <w:rsid w:val="00D03C25"/>
    <w:rsid w:val="00D04E40"/>
    <w:rsid w:val="00D0769E"/>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B79A9"/>
    <w:rsid w:val="00DC404D"/>
    <w:rsid w:val="00DC46CE"/>
    <w:rsid w:val="00DC5AFF"/>
    <w:rsid w:val="00DD075F"/>
    <w:rsid w:val="00DD1856"/>
    <w:rsid w:val="00DD1B0E"/>
    <w:rsid w:val="00DD3C34"/>
    <w:rsid w:val="00DD448B"/>
    <w:rsid w:val="00DE1F84"/>
    <w:rsid w:val="00DE473D"/>
    <w:rsid w:val="00E01829"/>
    <w:rsid w:val="00E036D1"/>
    <w:rsid w:val="00E14BBF"/>
    <w:rsid w:val="00E15935"/>
    <w:rsid w:val="00E33CA3"/>
    <w:rsid w:val="00E41394"/>
    <w:rsid w:val="00E45311"/>
    <w:rsid w:val="00E46454"/>
    <w:rsid w:val="00E50682"/>
    <w:rsid w:val="00E560E5"/>
    <w:rsid w:val="00E575FD"/>
    <w:rsid w:val="00E63CEC"/>
    <w:rsid w:val="00E66A08"/>
    <w:rsid w:val="00E67235"/>
    <w:rsid w:val="00E716AA"/>
    <w:rsid w:val="00E76CC5"/>
    <w:rsid w:val="00E86048"/>
    <w:rsid w:val="00E95EAD"/>
    <w:rsid w:val="00E96736"/>
    <w:rsid w:val="00EA7144"/>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14F99"/>
    <w:rsid w:val="00F24CA1"/>
    <w:rsid w:val="00F345F3"/>
    <w:rsid w:val="00F36CEC"/>
    <w:rsid w:val="00F54580"/>
    <w:rsid w:val="00F56038"/>
    <w:rsid w:val="00F5659D"/>
    <w:rsid w:val="00F645ED"/>
    <w:rsid w:val="00F6477C"/>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D7700"/>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5A25E6A9-2ADB-4A01-965D-CE221C0A4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9A9"/>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rsid w:val="00CD361A"/>
    <w:rPr>
      <w:rFonts w:ascii="Arial" w:eastAsiaTheme="minorEastAsia" w:hAnsi="Arial"/>
      <w:lang w:val="en-GB"/>
    </w:rPr>
  </w:style>
  <w:style w:type="character" w:styleId="af3">
    <w:name w:val="Emphasis"/>
    <w:uiPriority w:val="20"/>
    <w:qFormat/>
    <w:rsid w:val="0006127D"/>
    <w:rPr>
      <w:i/>
      <w:iCs/>
    </w:rPr>
  </w:style>
  <w:style w:type="character" w:customStyle="1" w:styleId="apple-converted-space">
    <w:name w:val="apple-converted-space"/>
    <w:qFormat/>
    <w:rsid w:val="0006127D"/>
  </w:style>
  <w:style w:type="character" w:customStyle="1" w:styleId="paragraph-hierarchy">
    <w:name w:val="paragraph-hierarchy"/>
    <w:basedOn w:val="a0"/>
    <w:rsid w:val="0006127D"/>
  </w:style>
  <w:style w:type="character" w:customStyle="1" w:styleId="paren">
    <w:name w:val="paren"/>
    <w:basedOn w:val="a0"/>
    <w:rsid w:val="00061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3213">
      <w:bodyDiv w:val="1"/>
      <w:marLeft w:val="0"/>
      <w:marRight w:val="0"/>
      <w:marTop w:val="0"/>
      <w:marBottom w:val="0"/>
      <w:divBdr>
        <w:top w:val="none" w:sz="0" w:space="0" w:color="auto"/>
        <w:left w:val="none" w:sz="0" w:space="0" w:color="auto"/>
        <w:bottom w:val="none" w:sz="0" w:space="0" w:color="auto"/>
        <w:right w:val="none" w:sz="0" w:space="0" w:color="auto"/>
      </w:divBdr>
    </w:div>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839731962">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381394007">
      <w:bodyDiv w:val="1"/>
      <w:marLeft w:val="0"/>
      <w:marRight w:val="0"/>
      <w:marTop w:val="0"/>
      <w:marBottom w:val="0"/>
      <w:divBdr>
        <w:top w:val="none" w:sz="0" w:space="0" w:color="auto"/>
        <w:left w:val="none" w:sz="0" w:space="0" w:color="auto"/>
        <w:bottom w:val="none" w:sz="0" w:space="0" w:color="auto"/>
        <w:right w:val="none" w:sz="0" w:space="0" w:color="auto"/>
      </w:divBdr>
    </w:div>
    <w:div w:id="1475366721">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50934287">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124</TotalTime>
  <Pages>4</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15</cp:revision>
  <dcterms:created xsi:type="dcterms:W3CDTF">2025-05-09T09:44:00Z</dcterms:created>
  <dcterms:modified xsi:type="dcterms:W3CDTF">2025-05-09T12:27:00Z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5c249f9a6e792e01e8a3bd9cb47002209a01de672cefbf8021aa860d87da5509</vt:lpwstr>
  </property>
</Properties>
</file>